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14" w:rsidRPr="005475D9" w:rsidRDefault="00505114" w:rsidP="00505114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5475D9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5D9">
        <w:rPr>
          <w:rFonts w:ascii="Times New Roman" w:hAnsi="Times New Roman"/>
          <w:sz w:val="32"/>
        </w:rPr>
        <w:t>O B E C    P R A V O T I C E</w:t>
      </w:r>
      <w:r w:rsidRPr="005475D9">
        <w:rPr>
          <w:rFonts w:ascii="Times New Roman" w:hAnsi="Times New Roman"/>
          <w:sz w:val="4"/>
          <w:szCs w:val="4"/>
        </w:rPr>
        <w:br/>
      </w:r>
      <w:r w:rsidRPr="005475D9">
        <w:rPr>
          <w:rFonts w:ascii="Times New Roman" w:hAnsi="Times New Roman"/>
          <w:sz w:val="4"/>
          <w:szCs w:val="4"/>
        </w:rPr>
        <w:br/>
      </w:r>
      <w:r w:rsidRPr="005475D9">
        <w:rPr>
          <w:rFonts w:ascii="Times New Roman" w:hAnsi="Times New Roman"/>
          <w:sz w:val="4"/>
          <w:szCs w:val="4"/>
        </w:rPr>
        <w:br/>
      </w:r>
    </w:p>
    <w:p w:rsidR="00505114" w:rsidRPr="005475D9" w:rsidRDefault="00505114" w:rsidP="00505114">
      <w:pPr>
        <w:pStyle w:val="Nzov"/>
        <w:jc w:val="left"/>
        <w:rPr>
          <w:rFonts w:ascii="Times New Roman" w:hAnsi="Times New Roman"/>
          <w:szCs w:val="28"/>
        </w:rPr>
      </w:pPr>
      <w:r w:rsidRPr="005475D9">
        <w:rPr>
          <w:rFonts w:ascii="Times New Roman" w:hAnsi="Times New Roman"/>
          <w:szCs w:val="28"/>
        </w:rPr>
        <w:t>Obecný úrad</w:t>
      </w:r>
    </w:p>
    <w:p w:rsidR="00505114" w:rsidRPr="005475D9" w:rsidRDefault="00505114" w:rsidP="00505114">
      <w:pPr>
        <w:pStyle w:val="Nzov"/>
        <w:jc w:val="left"/>
        <w:rPr>
          <w:rFonts w:ascii="Times New Roman" w:hAnsi="Times New Roman"/>
          <w:sz w:val="32"/>
        </w:rPr>
      </w:pPr>
      <w:r w:rsidRPr="005475D9">
        <w:rPr>
          <w:rFonts w:ascii="Times New Roman" w:hAnsi="Times New Roman"/>
          <w:sz w:val="24"/>
        </w:rPr>
        <w:t>956 35  Pravotice  44</w:t>
      </w:r>
      <w:r w:rsidRPr="005475D9">
        <w:rPr>
          <w:rFonts w:ascii="Times New Roman" w:hAnsi="Times New Roman"/>
          <w:sz w:val="24"/>
        </w:rPr>
        <w:br/>
      </w:r>
    </w:p>
    <w:p w:rsidR="00505114" w:rsidRPr="005475D9" w:rsidRDefault="00505114" w:rsidP="00505114">
      <w:pPr>
        <w:rPr>
          <w:b/>
          <w:caps/>
          <w:sz w:val="28"/>
        </w:rPr>
      </w:pPr>
    </w:p>
    <w:p w:rsidR="00505114" w:rsidRPr="005475D9" w:rsidRDefault="00505114" w:rsidP="00505114">
      <w:pPr>
        <w:jc w:val="center"/>
        <w:rPr>
          <w:b/>
          <w:caps/>
          <w:sz w:val="28"/>
          <w:u w:val="single"/>
        </w:rPr>
      </w:pPr>
      <w:r w:rsidRPr="005475D9">
        <w:rPr>
          <w:b/>
          <w:caps/>
          <w:sz w:val="28"/>
          <w:u w:val="single"/>
        </w:rPr>
        <w:t xml:space="preserve">Faktúry za mesiac  </w:t>
      </w:r>
      <w:r w:rsidRPr="005475D9">
        <w:rPr>
          <w:b/>
          <w:caps/>
          <w:sz w:val="28"/>
          <w:u w:val="single"/>
        </w:rPr>
        <w:t>november</w:t>
      </w:r>
      <w:r w:rsidRPr="005475D9">
        <w:rPr>
          <w:b/>
          <w:caps/>
          <w:sz w:val="28"/>
          <w:u w:val="single"/>
        </w:rPr>
        <w:t xml:space="preserve"> 2017</w:t>
      </w:r>
    </w:p>
    <w:p w:rsidR="00505114" w:rsidRPr="005475D9" w:rsidRDefault="00505114" w:rsidP="00505114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75D9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14" w:rsidRPr="005475D9" w:rsidRDefault="005051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75D9">
              <w:rPr>
                <w:b/>
                <w:sz w:val="24"/>
                <w:szCs w:val="24"/>
              </w:rPr>
              <w:t>Dodávateľ</w:t>
            </w:r>
          </w:p>
          <w:p w:rsidR="00505114" w:rsidRPr="005475D9" w:rsidRDefault="005051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5475D9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75D9">
              <w:rPr>
                <w:b/>
                <w:sz w:val="24"/>
                <w:szCs w:val="24"/>
              </w:rPr>
              <w:t>Suma v Eur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Mesto Bánovce nad Bebravou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Zabezpečenie záujmového vzdelávania v CVČ – 7 detí z obce x 3,00 € x 3 mesiace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63,00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Borina </w:t>
            </w:r>
            <w:proofErr w:type="spellStart"/>
            <w:r w:rsidRPr="005475D9">
              <w:t>Ekos</w:t>
            </w:r>
            <w:proofErr w:type="spellEnd"/>
            <w:r w:rsidRPr="005475D9">
              <w:t xml:space="preserve">, </w:t>
            </w:r>
            <w:proofErr w:type="spellStart"/>
            <w:r w:rsidRPr="005475D9">
              <w:t>s.r.o</w:t>
            </w:r>
            <w:proofErr w:type="spellEnd"/>
            <w:r w:rsidRPr="005475D9">
              <w:t xml:space="preserve">., </w:t>
            </w:r>
          </w:p>
          <w:p w:rsidR="00505114" w:rsidRPr="005475D9" w:rsidRDefault="00505114">
            <w:pPr>
              <w:spacing w:after="0" w:line="240" w:lineRule="auto"/>
            </w:pPr>
            <w:r w:rsidRPr="005475D9">
              <w:t>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510,73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ZSE Energia, </w:t>
            </w:r>
            <w:proofErr w:type="spellStart"/>
            <w:r w:rsidRPr="005475D9">
              <w:t>a.s</w:t>
            </w:r>
            <w:proofErr w:type="spellEnd"/>
            <w:r w:rsidRPr="005475D9">
              <w:t xml:space="preserve">., </w:t>
            </w:r>
          </w:p>
          <w:p w:rsidR="00505114" w:rsidRPr="005475D9" w:rsidRDefault="00505114">
            <w:pPr>
              <w:spacing w:after="0" w:line="240" w:lineRule="auto"/>
            </w:pPr>
            <w:r w:rsidRPr="005475D9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137,38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Slovak Telekom, </w:t>
            </w:r>
            <w:proofErr w:type="spellStart"/>
            <w:r w:rsidRPr="005475D9">
              <w:t>a.s</w:t>
            </w:r>
            <w:proofErr w:type="spellEnd"/>
            <w:r w:rsidRPr="005475D9">
              <w:t xml:space="preserve">., </w:t>
            </w:r>
          </w:p>
          <w:p w:rsidR="00505114" w:rsidRPr="005475D9" w:rsidRDefault="00505114">
            <w:pPr>
              <w:spacing w:after="0" w:line="240" w:lineRule="auto"/>
            </w:pPr>
            <w:r w:rsidRPr="005475D9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33,53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Slovenský plynárenský priemysel, </w:t>
            </w:r>
            <w:proofErr w:type="spellStart"/>
            <w:r w:rsidRPr="005475D9">
              <w:t>a.s</w:t>
            </w:r>
            <w:proofErr w:type="spellEnd"/>
            <w:r w:rsidRPr="005475D9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Odber zemného plynu -</w:t>
            </w:r>
            <w:r w:rsidRPr="005475D9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7,00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Slovenský plynárenský priemysel, </w:t>
            </w:r>
            <w:proofErr w:type="spellStart"/>
            <w:r w:rsidRPr="005475D9">
              <w:t>a.s</w:t>
            </w:r>
            <w:proofErr w:type="spellEnd"/>
            <w:r w:rsidRPr="005475D9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Odber zemného plynu -</w:t>
            </w:r>
            <w:r w:rsidRPr="005475D9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51,00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Slovenský plynárenský priemysel, </w:t>
            </w:r>
            <w:proofErr w:type="spellStart"/>
            <w:r w:rsidRPr="005475D9">
              <w:t>a.s</w:t>
            </w:r>
            <w:proofErr w:type="spellEnd"/>
            <w:r w:rsidRPr="005475D9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Odber zemného plynu -</w:t>
            </w:r>
            <w:r w:rsidRPr="005475D9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243,00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ZMOS,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Členský príspevok na rok 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50,49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ZSE Energia, </w:t>
            </w:r>
            <w:proofErr w:type="spellStart"/>
            <w:r w:rsidRPr="005475D9">
              <w:t>a.s</w:t>
            </w:r>
            <w:proofErr w:type="spellEnd"/>
            <w:r w:rsidRPr="005475D9">
              <w:t xml:space="preserve">., </w:t>
            </w:r>
          </w:p>
          <w:p w:rsidR="00505114" w:rsidRPr="005475D9" w:rsidRDefault="00505114">
            <w:pPr>
              <w:spacing w:after="0" w:line="240" w:lineRule="auto"/>
            </w:pPr>
            <w:r w:rsidRPr="005475D9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155,19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 xml:space="preserve">SLAVSTROJ </w:t>
            </w:r>
            <w:proofErr w:type="spellStart"/>
            <w:r w:rsidRPr="005475D9">
              <w:t>s.r.o</w:t>
            </w:r>
            <w:proofErr w:type="spellEnd"/>
            <w:r w:rsidRPr="005475D9">
              <w:t>., Zemplínske Kopčany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Výložník na betónový stožiar – verejné osvetlenie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29,23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proofErr w:type="spellStart"/>
            <w:r w:rsidRPr="005475D9">
              <w:t>Polepy</w:t>
            </w:r>
            <w:proofErr w:type="spellEnd"/>
            <w:r w:rsidRPr="005475D9">
              <w:t xml:space="preserve">-Potlače </w:t>
            </w:r>
            <w:proofErr w:type="spellStart"/>
            <w:r w:rsidRPr="005475D9">
              <w:t>s.r.o</w:t>
            </w:r>
            <w:proofErr w:type="spellEnd"/>
            <w:r w:rsidRPr="005475D9">
              <w:t>., Pravotice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 xml:space="preserve">Reklamný banner </w:t>
            </w:r>
            <w:r w:rsidR="009F1C8C" w:rsidRPr="005475D9">
              <w:rPr>
                <w:color w:val="385623" w:themeColor="accent6" w:themeShade="80"/>
              </w:rPr>
              <w:t>(Dotácia TSK)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33,00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 xml:space="preserve">OMS, </w:t>
            </w:r>
            <w:proofErr w:type="spellStart"/>
            <w:r w:rsidRPr="005475D9">
              <w:t>a.s</w:t>
            </w:r>
            <w:proofErr w:type="spellEnd"/>
            <w:r w:rsidRPr="005475D9">
              <w:t>., Dojč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>Inštalácia svietidiel podľa schválenej cenovej ponuky – 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12 093,58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 xml:space="preserve">Betonárka Nadlice spol. </w:t>
            </w:r>
            <w:proofErr w:type="spellStart"/>
            <w:r w:rsidRPr="005475D9">
              <w:t>s.r.o</w:t>
            </w:r>
            <w:proofErr w:type="spellEnd"/>
            <w:r w:rsidRPr="005475D9">
              <w:t>., Banka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 xml:space="preserve">Štrkopiesok, tanierová </w:t>
            </w:r>
            <w:proofErr w:type="spellStart"/>
            <w:r w:rsidRPr="005475D9">
              <w:t>hmoždinka</w:t>
            </w:r>
            <w:proofErr w:type="spellEnd"/>
            <w:r w:rsidRPr="005475D9">
              <w:t xml:space="preserve">, </w:t>
            </w:r>
            <w:proofErr w:type="spellStart"/>
            <w:r w:rsidRPr="005475D9">
              <w:t>šlapak</w:t>
            </w:r>
            <w:proofErr w:type="spellEnd"/>
            <w:r w:rsidRPr="005475D9">
              <w:t xml:space="preserve"> stredný</w:t>
            </w:r>
            <w:r>
              <w:t xml:space="preserve"> </w:t>
            </w:r>
            <w:r w:rsidRPr="005475D9">
              <w:rPr>
                <w:color w:val="385623" w:themeColor="accent6" w:themeShade="80"/>
              </w:rPr>
              <w:t>(Dotácia TSK)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103,70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 xml:space="preserve">14.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>Ivan Zajac, Trenčín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 xml:space="preserve">Ročná servisná prehliadka kondenzačných kotlov na </w:t>
            </w:r>
            <w:proofErr w:type="spellStart"/>
            <w:r w:rsidRPr="005475D9">
              <w:t>OcÚ</w:t>
            </w:r>
            <w:proofErr w:type="spellEnd"/>
            <w:r w:rsidRPr="005475D9">
              <w:t xml:space="preserve"> a KD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259,00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proofErr w:type="spellStart"/>
            <w:r w:rsidRPr="005475D9">
              <w:t>Sportika</w:t>
            </w:r>
            <w:proofErr w:type="spellEnd"/>
            <w:r w:rsidRPr="005475D9">
              <w:t xml:space="preserve"> SK, </w:t>
            </w:r>
            <w:proofErr w:type="spellStart"/>
            <w:r w:rsidRPr="005475D9">
              <w:t>s.r.o</w:t>
            </w:r>
            <w:proofErr w:type="spellEnd"/>
            <w:r w:rsidRPr="005475D9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</w:pPr>
            <w:r w:rsidRPr="005475D9">
              <w:t>Športové poháre na „Vianočný stolnotenisový turnaj“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right"/>
            </w:pPr>
            <w:r w:rsidRPr="005475D9">
              <w:t>35,78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05114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>Jozef Sivoň, Nedašovce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</w:pPr>
            <w:r w:rsidRPr="005475D9">
              <w:t>Prenájom plošiny, opiľovanie stromov v obci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14" w:rsidRPr="005475D9" w:rsidRDefault="005475D9">
            <w:pPr>
              <w:spacing w:after="0" w:line="240" w:lineRule="auto"/>
              <w:jc w:val="right"/>
            </w:pPr>
            <w:r w:rsidRPr="005475D9">
              <w:t>315,00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</w:pPr>
            <w:r w:rsidRPr="005475D9">
              <w:t>Ing. Vladimír Kováč – PC PARTNER, Košice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</w:pPr>
            <w:r w:rsidRPr="005475D9">
              <w:t xml:space="preserve">Solárne svietidlo – Lampa LED / </w:t>
            </w:r>
            <w:proofErr w:type="spellStart"/>
            <w:r w:rsidRPr="005475D9">
              <w:t>sada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  <w:jc w:val="right"/>
            </w:pPr>
            <w:r w:rsidRPr="005475D9">
              <w:t>364,40</w:t>
            </w:r>
          </w:p>
        </w:tc>
      </w:tr>
      <w:tr w:rsidR="005475D9" w:rsidRPr="005475D9" w:rsidTr="00505114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  <w:jc w:val="center"/>
              <w:rPr>
                <w:b/>
              </w:rPr>
            </w:pPr>
            <w:r w:rsidRPr="005475D9">
              <w:rPr>
                <w:b/>
              </w:rPr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</w:pPr>
            <w:r w:rsidRPr="005475D9">
              <w:t xml:space="preserve">Vladimír </w:t>
            </w:r>
            <w:proofErr w:type="spellStart"/>
            <w:r w:rsidRPr="005475D9">
              <w:t>Vrlík</w:t>
            </w:r>
            <w:proofErr w:type="spellEnd"/>
            <w:r w:rsidRPr="005475D9">
              <w:t xml:space="preserve"> – STOLÁRSTVO A VÝROBA NÁBYTKU, Hradište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Default="005475D9">
            <w:pPr>
              <w:spacing w:after="0" w:line="240" w:lineRule="auto"/>
            </w:pPr>
            <w:r w:rsidRPr="005475D9">
              <w:t xml:space="preserve">Drevená studňa, informačná tabuľa </w:t>
            </w:r>
          </w:p>
          <w:p w:rsidR="005475D9" w:rsidRPr="005475D9" w:rsidRDefault="005475D9">
            <w:pPr>
              <w:spacing w:after="0" w:line="240" w:lineRule="auto"/>
            </w:pPr>
            <w:r w:rsidRPr="005475D9">
              <w:rPr>
                <w:color w:val="385623" w:themeColor="accent6" w:themeShade="80"/>
              </w:rPr>
              <w:t>(Dotácia TSK)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9" w:rsidRPr="005475D9" w:rsidRDefault="005475D9">
            <w:pPr>
              <w:spacing w:after="0" w:line="240" w:lineRule="auto"/>
              <w:jc w:val="right"/>
            </w:pPr>
            <w:r w:rsidRPr="005475D9">
              <w:t>700,00</w:t>
            </w:r>
          </w:p>
        </w:tc>
      </w:tr>
    </w:tbl>
    <w:p w:rsidR="00A072B6" w:rsidRPr="005475D9" w:rsidRDefault="00A072B6"/>
    <w:sectPr w:rsidR="00A072B6" w:rsidRPr="005475D9" w:rsidSect="005475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4"/>
    <w:rsid w:val="00505114"/>
    <w:rsid w:val="005475D9"/>
    <w:rsid w:val="009F1C8C"/>
    <w:rsid w:val="00A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DF15-0CCC-4469-8F83-3682A2D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1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05114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05114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50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2017-11-29T11:16:00Z</dcterms:created>
  <dcterms:modified xsi:type="dcterms:W3CDTF">2017-11-29T11:37:00Z</dcterms:modified>
</cp:coreProperties>
</file>